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21E4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127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C05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"Паспорт приоритетного проекта "Создание новой модели медицинской организации, оказывающей первичную медико-санитарную помощь"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(утв. президиумом Совета при Президенте РФ по стратегическому развитию и приоритетным проектам, протокол от 26.07.2017 N 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C05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C0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C0508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AC0508">
      <w:pPr>
        <w:pStyle w:val="ConsPlusNormal"/>
        <w:ind w:left="540"/>
        <w:jc w:val="both"/>
      </w:pPr>
      <w:r>
        <w:t>Документ опубликован не был</w:t>
      </w:r>
    </w:p>
    <w:p w:rsidR="00000000" w:rsidRDefault="00AC0508">
      <w:pPr>
        <w:pStyle w:val="ConsPlusNormal"/>
        <w:spacing w:before="200"/>
      </w:pPr>
      <w:r>
        <w:rPr>
          <w:b/>
          <w:bCs/>
        </w:rPr>
        <w:t>Примечание к документу</w:t>
      </w:r>
    </w:p>
    <w:p w:rsidR="00000000" w:rsidRDefault="00AC0508">
      <w:pPr>
        <w:pStyle w:val="ConsPlusNormal"/>
        <w:ind w:left="540"/>
        <w:jc w:val="both"/>
      </w:pPr>
      <w:r>
        <w:t>Текст документа приведен в соответствии с публикацией на сайте http://government.ru по состоянию на 03.08.2017.</w:t>
      </w:r>
    </w:p>
    <w:p w:rsidR="00000000" w:rsidRDefault="00AC0508">
      <w:pPr>
        <w:pStyle w:val="ConsPlusNormal"/>
        <w:spacing w:before="200"/>
      </w:pPr>
      <w:r>
        <w:rPr>
          <w:b/>
          <w:bCs/>
        </w:rPr>
        <w:t>Название документа</w:t>
      </w:r>
    </w:p>
    <w:p w:rsidR="00000000" w:rsidRDefault="00AC0508">
      <w:pPr>
        <w:pStyle w:val="ConsPlusNormal"/>
        <w:ind w:left="540"/>
        <w:jc w:val="both"/>
      </w:pPr>
      <w:r>
        <w:t>"Паспорт приоритетного проекта "Создание новой модели медицинской организации, оказывающей первичную м</w:t>
      </w:r>
      <w:r>
        <w:t>едико-санитарную помощь"</w:t>
      </w:r>
    </w:p>
    <w:p w:rsidR="00000000" w:rsidRDefault="00AC0508">
      <w:pPr>
        <w:pStyle w:val="ConsPlusNormal"/>
        <w:ind w:left="540"/>
        <w:jc w:val="both"/>
      </w:pPr>
      <w:r>
        <w:t>(утв. президиумом Совета при Президенте РФ по стратегическому развитию и приоритетным проектам, протокол от 26.07.2017 N 8)</w:t>
      </w:r>
    </w:p>
    <w:p w:rsidR="00000000" w:rsidRDefault="00AC0508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0508">
      <w:pPr>
        <w:pStyle w:val="ConsPlusNormal"/>
        <w:jc w:val="both"/>
        <w:outlineLvl w:val="0"/>
      </w:pPr>
    </w:p>
    <w:p w:rsidR="00000000" w:rsidRDefault="00AC0508">
      <w:pPr>
        <w:pStyle w:val="ConsPlusNormal"/>
        <w:jc w:val="right"/>
      </w:pPr>
      <w:r>
        <w:t>Утвержден</w:t>
      </w:r>
    </w:p>
    <w:p w:rsidR="00000000" w:rsidRDefault="00AC0508">
      <w:pPr>
        <w:pStyle w:val="ConsPlusNormal"/>
        <w:jc w:val="right"/>
      </w:pPr>
      <w:r>
        <w:t>президиумом Совета при Президенте</w:t>
      </w:r>
    </w:p>
    <w:p w:rsidR="00000000" w:rsidRDefault="00AC0508">
      <w:pPr>
        <w:pStyle w:val="ConsPlusNormal"/>
        <w:jc w:val="right"/>
      </w:pPr>
      <w:r>
        <w:t>Российской Федерации</w:t>
      </w:r>
    </w:p>
    <w:p w:rsidR="00000000" w:rsidRDefault="00AC0508">
      <w:pPr>
        <w:pStyle w:val="ConsPlusNormal"/>
        <w:jc w:val="right"/>
      </w:pPr>
      <w:r>
        <w:t>по стратегическому развитию</w:t>
      </w:r>
    </w:p>
    <w:p w:rsidR="00000000" w:rsidRDefault="00AC0508">
      <w:pPr>
        <w:pStyle w:val="ConsPlusNormal"/>
        <w:jc w:val="right"/>
      </w:pPr>
      <w:r>
        <w:t>и приоритетным проектам</w:t>
      </w:r>
    </w:p>
    <w:p w:rsidR="00000000" w:rsidRDefault="00AC0508">
      <w:pPr>
        <w:pStyle w:val="ConsPlusNormal"/>
        <w:jc w:val="right"/>
      </w:pPr>
      <w:r>
        <w:t>(протокол от 26 июля 2017 г. N 8)</w:t>
      </w:r>
    </w:p>
    <w:p w:rsidR="00000000" w:rsidRDefault="00AC0508">
      <w:pPr>
        <w:pStyle w:val="ConsPlusNormal"/>
        <w:jc w:val="both"/>
      </w:pPr>
    </w:p>
    <w:p w:rsidR="00000000" w:rsidRDefault="00AC0508">
      <w:pPr>
        <w:pStyle w:val="ConsPlusTitle"/>
        <w:jc w:val="center"/>
      </w:pPr>
      <w:r>
        <w:t>ПАСПОРТ</w:t>
      </w:r>
    </w:p>
    <w:p w:rsidR="00000000" w:rsidRDefault="00AC0508">
      <w:pPr>
        <w:pStyle w:val="ConsPlusTitle"/>
        <w:jc w:val="center"/>
      </w:pPr>
      <w:r>
        <w:t>ПРИОРИТЕТНОГО ПРОЕКТА "СОЗДАНИЕ НОВОЙ МОДЕЛИ МЕДИЦИНСКОЙ</w:t>
      </w:r>
    </w:p>
    <w:p w:rsidR="00000000" w:rsidRDefault="00AC0508">
      <w:pPr>
        <w:pStyle w:val="ConsPlusTitle"/>
        <w:jc w:val="center"/>
      </w:pPr>
      <w:r>
        <w:t>ОРГАНИЗАЦИИ, ОКАЗЫВАЮЩЕЙ ПЕРВИЧНУЮ</w:t>
      </w:r>
    </w:p>
    <w:p w:rsidR="00000000" w:rsidRDefault="00AC0508">
      <w:pPr>
        <w:pStyle w:val="ConsPlusTitle"/>
        <w:jc w:val="center"/>
      </w:pPr>
      <w:r>
        <w:t>МЕДИКО-САНИТАРНУЮ ПОМОЩЬ"</w:t>
      </w:r>
    </w:p>
    <w:p w:rsidR="00000000" w:rsidRDefault="00AC0508">
      <w:pPr>
        <w:pStyle w:val="ConsPlusNormal"/>
        <w:jc w:val="both"/>
      </w:pPr>
    </w:p>
    <w:p w:rsidR="00000000" w:rsidRDefault="00AC0508">
      <w:pPr>
        <w:pStyle w:val="ConsPlusTitle"/>
        <w:jc w:val="center"/>
        <w:outlineLvl w:val="0"/>
      </w:pPr>
      <w:r>
        <w:t>1. Основные положения</w:t>
      </w:r>
    </w:p>
    <w:p w:rsidR="00000000" w:rsidRDefault="00AC05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27"/>
        <w:gridCol w:w="2098"/>
        <w:gridCol w:w="1984"/>
      </w:tblGrid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Наименование направления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Здравоохранение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Краткое наименование проекта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Срок начала и окончания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26 июля 2017 г. - 1 апреля 2023 г.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Куратор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О.Ю. Голодец, Заместитель Председателя Правительства Российской Федерации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Старшее должностное лицо (СДЛ)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Функциональный заказчик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В.И. Скворцова, Министр здравоохранения Российской Федерации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Т.В. Яковлева, заместитель Министра здрав</w:t>
            </w:r>
            <w:r>
              <w:t>оохранения Российской Федерации</w:t>
            </w:r>
          </w:p>
        </w:tc>
      </w:tr>
      <w:tr w:rsidR="0000000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Ключевые участники проекта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Минздрав России, Росздравнадзор, ФОМС, ФМБА России, Государственная корпорация по атомной энергии "Росатом", высшие органы исполнительной власти субъектов Российской Федерации, территориальные фон</w:t>
            </w:r>
            <w:r>
              <w:t>ды обязательного медицинского страхования, территориальные органы Росздравнадзора, образовательные организации, осуществляющие образовательную деятельность по медицинским специальностям, страховые медицинские организации</w:t>
            </w:r>
          </w:p>
        </w:tc>
      </w:tr>
    </w:tbl>
    <w:p w:rsidR="00000000" w:rsidRDefault="00AC0508">
      <w:pPr>
        <w:pStyle w:val="ConsPlusNormal"/>
        <w:jc w:val="both"/>
      </w:pPr>
    </w:p>
    <w:p w:rsidR="00000000" w:rsidRDefault="00AC0508">
      <w:pPr>
        <w:pStyle w:val="ConsPlusNormal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0508">
      <w:pPr>
        <w:pStyle w:val="ConsPlusTitle"/>
        <w:jc w:val="center"/>
        <w:outlineLvl w:val="0"/>
      </w:pPr>
      <w:r>
        <w:lastRenderedPageBreak/>
        <w:t>2. Содержание приоритетного проекта</w:t>
      </w:r>
    </w:p>
    <w:p w:rsidR="00000000" w:rsidRDefault="00AC05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288"/>
        <w:gridCol w:w="1361"/>
        <w:gridCol w:w="1077"/>
        <w:gridCol w:w="850"/>
        <w:gridCol w:w="850"/>
        <w:gridCol w:w="907"/>
        <w:gridCol w:w="907"/>
        <w:gridCol w:w="850"/>
      </w:tblGrid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Цель проекта</w:t>
            </w:r>
          </w:p>
        </w:tc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Повышение удовлетворенности населения качеством оказания медицинской помощи в амбулаторных условиях до 60% к 2020 году и до 70% к 2022 году путем создания новой модели медицинской организации, оказывающей первичную медико-санитарную помощь на принципах бер</w:t>
            </w:r>
            <w:r>
              <w:t>ежливого производства (далее - "Новая модель медицинской организации"), в 33 субъектах Российской Федерации с последующим тиражированием данной модели в 85 субъектах Российской Федерации.</w:t>
            </w:r>
          </w:p>
        </w:tc>
      </w:tr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План достижения показателей проекта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Базов</w:t>
            </w:r>
            <w:r>
              <w:t>ое значение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2022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 xml:space="preserve">1. Уровень удовлетворенности пациентов качеством оказания медицинской помощи участковым врачом, % </w:t>
            </w:r>
            <w:hyperlink w:anchor="Par115" w:tooltip="&lt;1&gt; Для медицинских организаций субъекта Российской Федерации, участвующих в создании &quot;Новой модели медицинской организации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 xml:space="preserve">45,7 </w:t>
            </w:r>
            <w:hyperlink w:anchor="Par116" w:tooltip="&lt;2&gt; Данные ФСО Росси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 xml:space="preserve">2. Количество субъектов Российской Федерации, участвующих в экспериментальной части проекта, ед. </w:t>
            </w:r>
            <w:hyperlink w:anchor="Par115" w:tooltip="&lt;1&gt; Для медицинских организаций субъекта Российской Федерации, участвующих в создании &quot;Новой модели медицинской организации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Аналитический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 xml:space="preserve">3. Количество медицинских организаций, оказывающих первичную медико-санитарную помощь (далее - медицинские организации), участвующих в экспериментальной части проекта, ед. </w:t>
            </w:r>
            <w:hyperlink w:anchor="Par115" w:tooltip="&lt;1&gt; Для медицинских организаций субъекта Российской Федерации, участвующих в создании &quot;Новой модели медицинской организации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 xml:space="preserve">4. Количество медицинских организаций, участвующих в тиражировании, ед. </w:t>
            </w:r>
            <w:hyperlink w:anchor="Par115" w:tooltip="&lt;1&gt; Для медицинских организаций субъекта Российской Федерации, участвующих в создании &quot;Новой модели медицинской организации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 xml:space="preserve">5. Количество посещений на 1 застрахованного в год </w:t>
            </w:r>
            <w:hyperlink w:anchor="Par115" w:tooltip="&lt;1&gt; Для медицинских организаций субъекта Российской Федерации, участвующих в создании &quot;Новой модели медицинской организации&quot;." w:history="1">
              <w:r>
                <w:rPr>
                  <w:color w:val="0000FF"/>
                </w:rPr>
                <w:t>&lt;1&gt;</w:t>
              </w:r>
            </w:hyperlink>
            <w:r>
              <w:t>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Второго уровня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7,637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7,9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 xml:space="preserve">в том числе с профилактической </w:t>
            </w:r>
            <w:r>
              <w:lastRenderedPageBreak/>
              <w:t xml:space="preserve">целью </w:t>
            </w:r>
            <w:hyperlink w:anchor="Par115" w:tooltip="&lt;1&gt; Для медицинских организаций субъекта Российской Федерации, участвующих в создании &quot;Новой модели медицинской организации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lastRenderedPageBreak/>
              <w:t xml:space="preserve">Второго </w:t>
            </w:r>
            <w:r>
              <w:lastRenderedPageBreak/>
              <w:t>уровня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lastRenderedPageBreak/>
              <w:t>1,757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2,21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6. Доля медицинских организаций, внедривших на основе электронного расписания автоматизированную систему мониторинга сроков ожидания оказания медицинской помощи врачом, установленных Программой государственных гарантий бесплатного оказания гражданам медици</w:t>
            </w:r>
            <w:r>
              <w:t xml:space="preserve">нской помощи, % </w:t>
            </w:r>
            <w:hyperlink w:anchor="Par115" w:tooltip="&lt;1&gt; Для медицинских организаций субъекта Российской Федерации, участвующих в создании &quot;Новой модели медицинской организации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Результаты проекта</w:t>
            </w:r>
          </w:p>
        </w:tc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1. Создан Центр организации первичной медико-санитарной помощи (далее - ЦПМСП).</w:t>
            </w:r>
          </w:p>
          <w:p w:rsidR="00000000" w:rsidRDefault="00AC0508">
            <w:pPr>
              <w:pStyle w:val="ConsPlusNormal"/>
            </w:pPr>
            <w:r>
              <w:t>2. В 85 субъектах Российской Федерации на функциональной основе созданы региональные центры организации первичной медико-санитарной помощи (далее - РЦ ПМСП).</w:t>
            </w:r>
          </w:p>
          <w:p w:rsidR="00000000" w:rsidRDefault="00AC0508">
            <w:pPr>
              <w:pStyle w:val="ConsPlusNormal"/>
            </w:pPr>
            <w:r>
              <w:t xml:space="preserve">3. Не менее чем в </w:t>
            </w:r>
            <w:r>
              <w:t>195 медицинских организациях субъектов Российской Федерации создана и апробирована "Новая модель медицинской организации", в результате внедрения которой:</w:t>
            </w:r>
          </w:p>
          <w:p w:rsidR="00000000" w:rsidRDefault="00AC0508">
            <w:pPr>
              <w:pStyle w:val="ConsPlusNormal"/>
            </w:pPr>
            <w:r>
              <w:t>увеличено время работы врача непосредственно с пациентом не менее чем в 2 раза;</w:t>
            </w:r>
          </w:p>
          <w:p w:rsidR="00000000" w:rsidRDefault="00AC0508">
            <w:pPr>
              <w:pStyle w:val="ConsPlusNormal"/>
            </w:pPr>
            <w:r>
              <w:t>сокращено время оформ</w:t>
            </w:r>
            <w:r>
              <w:t>ления записи на прием к врачу не менее чем в 3 раза;</w:t>
            </w:r>
          </w:p>
          <w:p w:rsidR="00000000" w:rsidRDefault="00AC0508">
            <w:pPr>
              <w:pStyle w:val="ConsPlusNormal"/>
            </w:pPr>
            <w:r>
              <w:t>сокращена очередь не менее чем в 3 раза, время ожидания пациентом врача у кабинета - не менее чем в 3 раза;</w:t>
            </w:r>
          </w:p>
          <w:p w:rsidR="00000000" w:rsidRDefault="00AC0508">
            <w:pPr>
              <w:pStyle w:val="ConsPlusNormal"/>
            </w:pPr>
            <w:r>
              <w:t>сокращены сроки прохождения I этапа диспансеризации до 2-х дней.</w:t>
            </w:r>
          </w:p>
          <w:p w:rsidR="00000000" w:rsidRDefault="00AC0508">
            <w:pPr>
              <w:pStyle w:val="ConsPlusNormal"/>
            </w:pPr>
            <w:r>
              <w:t>4. Внедрена система автоматизи</w:t>
            </w:r>
            <w:r>
              <w:t>рованного мониторинга доступности первичной медико-санитарной помощи в 100% медицинских организаций - участников проекта.</w:t>
            </w:r>
          </w:p>
          <w:p w:rsidR="00000000" w:rsidRDefault="00AC0508">
            <w:pPr>
              <w:pStyle w:val="ConsPlusNormal"/>
            </w:pPr>
            <w:r>
              <w:t>5. "Новая модель медицинской организации" тиражирована в 85 субъектах Российской Федерации, не менее чем в 2000 медицинских организаци</w:t>
            </w:r>
            <w:r>
              <w:t>ях.</w:t>
            </w:r>
          </w:p>
          <w:p w:rsidR="00000000" w:rsidRDefault="00AC0508">
            <w:pPr>
              <w:pStyle w:val="ConsPlusNormal"/>
            </w:pPr>
            <w:r>
              <w:t>6. Внедрены новые технологии образования ("Фабрики процессов") на базе 11 ВУЗов, подведомственных Минздраву России.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</w:p>
        </w:tc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Примечания:</w:t>
            </w:r>
          </w:p>
          <w:p w:rsidR="00000000" w:rsidRDefault="00AC0508">
            <w:pPr>
              <w:pStyle w:val="ConsPlusNormal"/>
            </w:pPr>
            <w:bookmarkStart w:id="1" w:name="Par115"/>
            <w:bookmarkEnd w:id="1"/>
            <w:r>
              <w:t>&lt;1&gt; Для медицинских организаций субъекта Российской Федерации, участвующих в создании "Новой модели медицинской организации".</w:t>
            </w:r>
          </w:p>
          <w:p w:rsidR="00000000" w:rsidRDefault="00AC0508">
            <w:pPr>
              <w:pStyle w:val="ConsPlusNormal"/>
            </w:pPr>
            <w:bookmarkStart w:id="2" w:name="Par116"/>
            <w:bookmarkEnd w:id="2"/>
            <w:r>
              <w:t>&lt;2&gt; Данные ФСО России.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Описание модели функциониро</w:t>
            </w:r>
            <w:r>
              <w:lastRenderedPageBreak/>
              <w:t>вания результатов проекта</w:t>
            </w:r>
          </w:p>
        </w:tc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ind w:firstLine="283"/>
            </w:pPr>
            <w:r>
              <w:lastRenderedPageBreak/>
              <w:t>ЦПМСП будет осуществлять организационно-м</w:t>
            </w:r>
            <w:r>
              <w:t xml:space="preserve">етодическую поддержку и координацию работы РЦ ПМСП и других участников проекта, анализ организации первичной медико-санитарной помощи в субъектах Российской Федерации, разработку мер по устранению типовых проблем в медицинских </w:t>
            </w:r>
            <w:r>
              <w:lastRenderedPageBreak/>
              <w:t>организациях, участвующих в п</w:t>
            </w:r>
            <w:r>
              <w:t>роекте, с организацией в них апробации принципов бережливого производства, участвовать в создании "Новой модели медицинской организации", осуществлять сбор информации и подготовку аналитических материалов для предоставления в Минздрав России о тиражировани</w:t>
            </w:r>
            <w:r>
              <w:t>и лучших практик в субъектах Российской Федерации.</w:t>
            </w:r>
          </w:p>
          <w:p w:rsidR="00000000" w:rsidRDefault="00AC0508">
            <w:pPr>
              <w:pStyle w:val="ConsPlusNormal"/>
              <w:ind w:firstLine="283"/>
            </w:pPr>
            <w:r>
              <w:t>С 2018 по 2022 год ЦПМСП будет обеспечивать организационную, образовательную и методическую деятельность по тиражированию "Новой модели медицинской организации" в субъектах Российской Федерации.</w:t>
            </w:r>
          </w:p>
          <w:p w:rsidR="00000000" w:rsidRDefault="00AC0508">
            <w:pPr>
              <w:pStyle w:val="ConsPlusNormal"/>
              <w:ind w:firstLine="283"/>
            </w:pPr>
            <w:r>
              <w:t>РЦ ПМСП бу</w:t>
            </w:r>
            <w:r>
              <w:t xml:space="preserve">дут осуществлять функции по методической поддержке и координации работы медицинских организаций, образовательных организаций, территориальных фондов ОМС, территориальных органов Росздравнадзора по проведению анализа организации первичной медико-санитарной </w:t>
            </w:r>
            <w:r>
              <w:t>помощи в пилотных субъектах Российской Федерации, участвовать в разработке мер по устранению типовых проблем в медицинских организациях - участниках проекта, организации апробации принципов бережливого производства, создании "Новой модели медицинской орган</w:t>
            </w:r>
            <w:r>
              <w:t>изации", осуществлять сбор информации от медицинских организаций, участвующих в проекте, для представления в ЦПМСП, обеспечивать тиражирование лучших практик в границах субъекта Российской Федерации.</w:t>
            </w:r>
          </w:p>
          <w:p w:rsidR="00000000" w:rsidRDefault="00AC0508">
            <w:pPr>
              <w:pStyle w:val="ConsPlusNormal"/>
              <w:ind w:firstLine="283"/>
            </w:pPr>
            <w:r>
              <w:t>В течение 2018 - 2019 годов при методической поддержке Г</w:t>
            </w:r>
            <w:r>
              <w:t>К "Росатом" ЦПМСП совместно с РЦ ПМСП и другими участниками проекта проводят анализ организации первичной медико-санитарной помощи в медицинских организациях - участниках проекта с учетом численности прикрепленного населения (менее 20 тысяч и более 20 тыся</w:t>
            </w:r>
            <w:r>
              <w:t>ч) и организационной формы медицинской организации: 1 - структурные подразделения государственных и муниципальных больниц, самостоятельные поликлиники (юридические лица), 2 - структурные подразделения центральных районных и районных больниц, врачебные амбу</w:t>
            </w:r>
            <w:r>
              <w:t>латории, в том числе амбулаторные подразделения участковых больниц, и на основании проведенного анализа разрабатывают меры по устранению типовых проблем.</w:t>
            </w:r>
          </w:p>
          <w:p w:rsidR="00000000" w:rsidRDefault="00AC0508">
            <w:pPr>
              <w:pStyle w:val="ConsPlusNormal"/>
              <w:ind w:firstLine="283"/>
            </w:pPr>
            <w:r>
              <w:t>"Новая модель медицинской организации" - пациентоориентированная медицинская организация, отличительны</w:t>
            </w:r>
            <w:r>
              <w:t>ми признаками которой являются доброжелательное отношение к пациенту, отсутствие очередей за счет правильной организации процессов и работы персонала, качественное оказание медицинской помощи, приоритет профилактических мероприятий в первичном звене здраво</w:t>
            </w:r>
            <w:r>
              <w:t>охранения.</w:t>
            </w:r>
          </w:p>
          <w:p w:rsidR="00000000" w:rsidRDefault="00AC0508">
            <w:pPr>
              <w:pStyle w:val="ConsPlusNormal"/>
              <w:ind w:firstLine="283"/>
            </w:pPr>
            <w:r>
              <w:t>Основные направления, реализованные в проекте:</w:t>
            </w:r>
          </w:p>
          <w:p w:rsidR="00000000" w:rsidRDefault="00AC0508">
            <w:pPr>
              <w:pStyle w:val="ConsPlusNormal"/>
            </w:pPr>
            <w:r>
              <w:t>перераспределение нагрузки между врачом и средним медицинским персоналом;</w:t>
            </w:r>
          </w:p>
          <w:p w:rsidR="00000000" w:rsidRDefault="00AC0508">
            <w:pPr>
              <w:pStyle w:val="ConsPlusNormal"/>
            </w:pPr>
            <w:r>
              <w:t>оптимизированная логистика движения пациентов с разделением потоков на больных и здоровых;</w:t>
            </w:r>
          </w:p>
          <w:p w:rsidR="00000000" w:rsidRDefault="00AC0508">
            <w:pPr>
              <w:pStyle w:val="ConsPlusNormal"/>
            </w:pPr>
            <w:r>
              <w:t>переход на электронный документоо</w:t>
            </w:r>
            <w:r>
              <w:t>борот, сокращение бумажной документации;</w:t>
            </w:r>
          </w:p>
          <w:p w:rsidR="00000000" w:rsidRDefault="00AC0508">
            <w:pPr>
              <w:pStyle w:val="ConsPlusNormal"/>
            </w:pPr>
            <w:r>
              <w:t>открытая и вежливая регистратура;</w:t>
            </w:r>
          </w:p>
          <w:p w:rsidR="00000000" w:rsidRDefault="00AC0508">
            <w:pPr>
              <w:pStyle w:val="ConsPlusNormal"/>
            </w:pPr>
            <w:r>
              <w:t>комфортные условия для пациента в зонах ожидания;</w:t>
            </w:r>
          </w:p>
          <w:p w:rsidR="00000000" w:rsidRDefault="00AC0508">
            <w:pPr>
              <w:pStyle w:val="ConsPlusNormal"/>
            </w:pPr>
            <w:r>
              <w:t>организация диспансеризации и профилактических осмотров на принципах непрерывного потока пациентов с соблюдением нормативов времени</w:t>
            </w:r>
            <w:r>
              <w:t xml:space="preserve"> приема на одного пациента;</w:t>
            </w:r>
          </w:p>
          <w:p w:rsidR="00000000" w:rsidRDefault="00AC0508">
            <w:pPr>
              <w:pStyle w:val="ConsPlusNormal"/>
            </w:pPr>
            <w:r>
              <w:t xml:space="preserve">внедрение мониторинга соответствия фактических сроков ожидания оказания медицинской помощи врачом с момента обращения пациента в медицинскую организацию установленным срокам ожидания в </w:t>
            </w:r>
            <w:r>
              <w:lastRenderedPageBreak/>
              <w:t>соответствии с Программой государственных г</w:t>
            </w:r>
            <w:r>
              <w:t>арантий бесплатного оказания гражданам медицинской помощи.</w:t>
            </w:r>
          </w:p>
          <w:p w:rsidR="00000000" w:rsidRDefault="00AC0508">
            <w:pPr>
              <w:pStyle w:val="ConsPlusNormal"/>
              <w:ind w:firstLine="283"/>
            </w:pPr>
            <w:r>
              <w:t>С 2019 года начинается планомерное тиражирование "Новой модели медицинской организации" с учетом численности прикрепленного населения и организационной формы.</w:t>
            </w:r>
          </w:p>
          <w:p w:rsidR="00000000" w:rsidRDefault="00AC0508">
            <w:pPr>
              <w:pStyle w:val="ConsPlusNormal"/>
              <w:ind w:firstLine="283"/>
            </w:pPr>
            <w:r>
              <w:t>По результатам завершения проекта, оце</w:t>
            </w:r>
            <w:r>
              <w:t>нки успешности его реализации и экономической эффективности "Новая модель медицинской организации" в дальнейшем может быть распространена на все медицинские организации первичного звена здравоохранения субъектов Российской Федерации.</w:t>
            </w:r>
          </w:p>
        </w:tc>
      </w:tr>
    </w:tbl>
    <w:p w:rsidR="00000000" w:rsidRDefault="00AC0508">
      <w:pPr>
        <w:pStyle w:val="ConsPlusNormal"/>
        <w:jc w:val="both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C0508">
      <w:pPr>
        <w:pStyle w:val="ConsPlusNormal"/>
        <w:jc w:val="both"/>
      </w:pPr>
    </w:p>
    <w:p w:rsidR="00000000" w:rsidRDefault="00AC0508">
      <w:pPr>
        <w:pStyle w:val="ConsPlusTitle"/>
        <w:jc w:val="center"/>
        <w:outlineLvl w:val="0"/>
      </w:pPr>
      <w:r>
        <w:t>3. Этапы и контрольные точки</w:t>
      </w:r>
    </w:p>
    <w:p w:rsidR="00000000" w:rsidRDefault="00AC05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1644"/>
        <w:gridCol w:w="2041"/>
      </w:tblGrid>
      <w:tr w:rsidR="000000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Тип (завершение этапа/контрольная точка)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Срок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Паспорт проекта утвержден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26 июля 2017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Утвержден сводный план проекта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26 сентября 2017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Создан ЦПМСП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15 января 2018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Созданы РЦ ПМСП в 33 субъектах Российской Федерации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января 2018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Проведен анализ организации первичной медико-санитарной помощи не менее чем в 40 медицинских организациях субъектов Российской Федерации с учетом численности прикрепленного населения (более 20 тысяч человек) и органи</w:t>
            </w:r>
            <w:r>
              <w:t>зационной формы медицинской организации (структурные подразделения государственных и муниципальных больниц, самостоятельные поликлиники (юридические лица)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апреля 2018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 xml:space="preserve">На базе 5 ВУЗов, подведомственных Минздраву России, внедрены </w:t>
            </w:r>
            <w:r>
              <w:t>новые технологии образования ("Фабрики процессов")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20 августа 2018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Внедрена система автоматизированного мониторинга доступности организации первичной медико-санитарной помощи в 40 медицинских организациях субъектов Российской Федер</w:t>
            </w:r>
            <w:r>
              <w:t>ации с учетом численности прикрепленного населения (более 20 тысяч человек) и организационной формы медицинской организации (структурные подразделения государственных и муниципальных больниц, самостоятельные поликлиники (юридические лица)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ноября 2018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На основе проведенной апробации принципов бережливого производства в 40 медицинских организациях субъектов Российской Федерации создана и внедрена "Новая модель медицинской организации" с учетом численности прикрепленного населения (более 20 тысяч человек)</w:t>
            </w:r>
            <w:r>
              <w:t xml:space="preserve"> и организационной формы медицинской организации (структурные подразделения государственных и муниципальных больниц, самостоятельные поликлиники (юридические лица)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января 2019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Проведен анализ организации первичной медико-санитар</w:t>
            </w:r>
            <w:r>
              <w:t>ной помощи в 40 медицинских организациях субъектов Российской Федерации с учетом численности прикрепленного населения (менее 20 тысяч человек) и организационной формы медицинской организации (структурные подразделения центральных районных и районных больни</w:t>
            </w:r>
            <w:r>
              <w:t>ц, врачебные амбулатории, в том числе амбулаторные подразделения участковых больниц)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апреля 2019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На базе 11 ВУЗов, подведомственных Минздраву России, внедрены новые технологии образования ("Фабрики процессов")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20 августа 2019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 xml:space="preserve">Внедрена система автоматизированного мониторинга доступности организации первичной медико-санитарной помощи в 40 медицинских организациях субъектов Российской Федерации с учетом численности прикрепленного населения (менее 20 тысяч </w:t>
            </w:r>
            <w:r>
              <w:t>человек) и организационной формы медицинской организации (структурные подразделения центральных районных и районных больниц, врачебные амбулатории, в том числе амбулаторные подразделения участковых больниц)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ноября 2019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На основе проведенной апробации принципов бережливого производства в 40 медицинских организациях субъектов Российской Федерации создана и внедрена "Новая модель медицинской организации" с учетом численности прикрепленного населения (менее 20 тысяч человек)</w:t>
            </w:r>
            <w:r>
              <w:t xml:space="preserve"> и организационной формы медицинской организации (структурные подразделения центральных районных и районных больниц, врачебные амбулатории, в том числе амбулаторные подразделения участковых больниц)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января 2020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 xml:space="preserve">РЦ ПМСП созданы </w:t>
            </w:r>
            <w:r>
              <w:t>в 51 субъектах Российской Федерации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января 2020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РЦ ПМСП созданы в 69 субъектах Российской Федерации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января 2021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"Новая модель медицинской организации" тиражирована не менее чем в 500 медицинских орг</w:t>
            </w:r>
            <w:r>
              <w:t>анизациях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20 февраля 2021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РЦ ПМСП созданы в 85 субъектах Российской Федерации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января 2022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"Новая модель медицинской организации" тиражирована не менее чем в 1000 медицинских организациях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20 февраля 2022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Внедрена система автоматизированного мониторинга доступности организации первичной медико-санитарной помощи в пилотных медицинских организациях 85 субъектов Российской Федерации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30 ноября 2022 г.</w:t>
            </w:r>
          </w:p>
        </w:tc>
      </w:tr>
      <w:tr w:rsidR="00000000">
        <w:tc>
          <w:tcPr>
            <w:tcW w:w="510" w:type="dxa"/>
          </w:tcPr>
          <w:p w:rsidR="00000000" w:rsidRDefault="00AC050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76" w:type="dxa"/>
          </w:tcPr>
          <w:p w:rsidR="00000000" w:rsidRDefault="00AC0508">
            <w:pPr>
              <w:pStyle w:val="ConsPlusNormal"/>
            </w:pPr>
            <w:r>
              <w:t>"Новая модель медицинской организации" тиражирована не менее чем в 2000 медицинских организациях 85 субъектов Российской Федерации</w:t>
            </w:r>
          </w:p>
        </w:tc>
        <w:tc>
          <w:tcPr>
            <w:tcW w:w="1644" w:type="dxa"/>
          </w:tcPr>
          <w:p w:rsidR="00000000" w:rsidRDefault="00AC0508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2041" w:type="dxa"/>
          </w:tcPr>
          <w:p w:rsidR="00000000" w:rsidRDefault="00AC0508">
            <w:pPr>
              <w:pStyle w:val="ConsPlusNormal"/>
              <w:jc w:val="center"/>
            </w:pPr>
            <w:r>
              <w:t>20 декабря 2022 г.</w:t>
            </w:r>
          </w:p>
        </w:tc>
      </w:tr>
      <w:tr w:rsidR="00000000">
        <w:tc>
          <w:tcPr>
            <w:tcW w:w="510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Проект завершен (Итоговый отчет утвержден)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Завершение этапа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1 апреля 2023 г.</w:t>
            </w:r>
          </w:p>
        </w:tc>
      </w:tr>
    </w:tbl>
    <w:p w:rsidR="00000000" w:rsidRDefault="00AC0508">
      <w:pPr>
        <w:pStyle w:val="ConsPlusNormal"/>
        <w:jc w:val="both"/>
      </w:pPr>
    </w:p>
    <w:p w:rsidR="00000000" w:rsidRDefault="00AC0508">
      <w:pPr>
        <w:pStyle w:val="ConsPlusTitle"/>
        <w:jc w:val="center"/>
        <w:outlineLvl w:val="0"/>
      </w:pPr>
      <w:r>
        <w:t>4. Бюджет приоритетного проекта</w:t>
      </w:r>
    </w:p>
    <w:p w:rsidR="00000000" w:rsidRDefault="00AC05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87"/>
        <w:gridCol w:w="737"/>
        <w:gridCol w:w="1134"/>
        <w:gridCol w:w="1134"/>
        <w:gridCol w:w="1134"/>
        <w:gridCol w:w="1077"/>
        <w:gridCol w:w="850"/>
      </w:tblGrid>
      <w:tr w:rsidR="00000000">
        <w:tc>
          <w:tcPr>
            <w:tcW w:w="30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30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 xml:space="preserve">2019 </w:t>
            </w:r>
            <w:hyperlink w:anchor="Par271" w:tooltip="&lt;*&gt; Требуется ежегодное подтверждени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 xml:space="preserve">2020 </w:t>
            </w:r>
            <w:hyperlink w:anchor="Par271" w:tooltip="&lt;*&gt; Требуется ежегодное подтверждени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 xml:space="preserve">2021 </w:t>
            </w:r>
            <w:hyperlink w:anchor="Par271" w:tooltip="&lt;*&gt; Требуется ежегодное подтверждени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 xml:space="preserve">2022 </w:t>
            </w:r>
            <w:hyperlink w:anchor="Par271" w:tooltip="&lt;*&gt; Требуется ежегодное подтверждени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</w:p>
        </w:tc>
      </w:tr>
      <w:tr w:rsidR="00000000"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Бюджетные источники, млн. руб.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Федеральные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450,0</w:t>
            </w:r>
          </w:p>
        </w:tc>
      </w:tr>
      <w:tr w:rsidR="00000000">
        <w:tc>
          <w:tcPr>
            <w:tcW w:w="1417" w:type="dxa"/>
          </w:tcPr>
          <w:p w:rsidR="00000000" w:rsidRDefault="00AC0508">
            <w:pPr>
              <w:pStyle w:val="ConsPlusNormal"/>
            </w:pPr>
          </w:p>
        </w:tc>
        <w:tc>
          <w:tcPr>
            <w:tcW w:w="1587" w:type="dxa"/>
          </w:tcPr>
          <w:p w:rsidR="00000000" w:rsidRDefault="00AC0508">
            <w:pPr>
              <w:pStyle w:val="ConsPlusNormal"/>
            </w:pPr>
            <w:r>
              <w:t>Субъектов Российской Федерации</w:t>
            </w:r>
          </w:p>
        </w:tc>
        <w:tc>
          <w:tcPr>
            <w:tcW w:w="737" w:type="dxa"/>
          </w:tcPr>
          <w:p w:rsidR="00000000" w:rsidRDefault="00AC0508">
            <w:pPr>
              <w:pStyle w:val="ConsPlusNormal"/>
              <w:jc w:val="center"/>
            </w:pPr>
            <w:hyperlink w:anchor="Par272" w:tooltip="&lt;**&gt; Субъекты Российской Федерации определяют самостоятельно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000000" w:rsidRDefault="00AC0508">
            <w:pPr>
              <w:pStyle w:val="ConsPlusNormal"/>
            </w:pPr>
          </w:p>
        </w:tc>
        <w:tc>
          <w:tcPr>
            <w:tcW w:w="1134" w:type="dxa"/>
          </w:tcPr>
          <w:p w:rsidR="00000000" w:rsidRDefault="00AC0508">
            <w:pPr>
              <w:pStyle w:val="ConsPlusNormal"/>
            </w:pPr>
          </w:p>
        </w:tc>
        <w:tc>
          <w:tcPr>
            <w:tcW w:w="1134" w:type="dxa"/>
          </w:tcPr>
          <w:p w:rsidR="00000000" w:rsidRDefault="00AC0508">
            <w:pPr>
              <w:pStyle w:val="ConsPlusNormal"/>
            </w:pPr>
          </w:p>
        </w:tc>
        <w:tc>
          <w:tcPr>
            <w:tcW w:w="1077" w:type="dxa"/>
          </w:tcPr>
          <w:p w:rsidR="00000000" w:rsidRDefault="00AC0508">
            <w:pPr>
              <w:pStyle w:val="ConsPlusNormal"/>
            </w:pPr>
          </w:p>
        </w:tc>
        <w:tc>
          <w:tcPr>
            <w:tcW w:w="850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417" w:type="dxa"/>
          </w:tcPr>
          <w:p w:rsidR="00000000" w:rsidRDefault="00AC0508">
            <w:pPr>
              <w:pStyle w:val="ConsPlusNormal"/>
            </w:pPr>
          </w:p>
        </w:tc>
        <w:tc>
          <w:tcPr>
            <w:tcW w:w="1587" w:type="dxa"/>
          </w:tcPr>
          <w:p w:rsidR="00000000" w:rsidRDefault="00AC0508">
            <w:pPr>
              <w:pStyle w:val="ConsPlusNormal"/>
            </w:pPr>
            <w:r>
              <w:t>Местные</w:t>
            </w:r>
          </w:p>
        </w:tc>
        <w:tc>
          <w:tcPr>
            <w:tcW w:w="737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C0508">
            <w:pPr>
              <w:pStyle w:val="ConsPlusNormal"/>
            </w:pPr>
          </w:p>
        </w:tc>
        <w:tc>
          <w:tcPr>
            <w:tcW w:w="850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004" w:type="dxa"/>
            <w:gridSpan w:val="2"/>
          </w:tcPr>
          <w:p w:rsidR="00000000" w:rsidRDefault="00AC0508">
            <w:pPr>
              <w:pStyle w:val="ConsPlusNormal"/>
            </w:pPr>
            <w:r>
              <w:t>Внебюджетные источники, млн. руб.</w:t>
            </w:r>
          </w:p>
        </w:tc>
        <w:tc>
          <w:tcPr>
            <w:tcW w:w="737" w:type="dxa"/>
          </w:tcPr>
          <w:p w:rsidR="00000000" w:rsidRDefault="00AC0508">
            <w:pPr>
              <w:pStyle w:val="ConsPlusNormal"/>
              <w:jc w:val="center"/>
            </w:pPr>
            <w:hyperlink w:anchor="Par272" w:tooltip="&lt;**&gt; Субъекты Российской Федерации определяют самостоятельно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C0508">
            <w:pPr>
              <w:pStyle w:val="ConsPlusNormal"/>
            </w:pPr>
          </w:p>
        </w:tc>
        <w:tc>
          <w:tcPr>
            <w:tcW w:w="850" w:type="dxa"/>
          </w:tcPr>
          <w:p w:rsidR="00000000" w:rsidRDefault="00AC050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AC0508">
            <w:pPr>
              <w:pStyle w:val="ConsPlusNormal"/>
              <w:jc w:val="center"/>
            </w:pPr>
            <w:r>
              <w:t>450,0</w:t>
            </w:r>
          </w:p>
        </w:tc>
      </w:tr>
    </w:tbl>
    <w:p w:rsidR="00000000" w:rsidRDefault="00AC0508">
      <w:pPr>
        <w:pStyle w:val="ConsPlusNormal"/>
        <w:jc w:val="both"/>
      </w:pPr>
    </w:p>
    <w:p w:rsidR="00000000" w:rsidRDefault="00AC0508">
      <w:pPr>
        <w:pStyle w:val="ConsPlusNormal"/>
        <w:ind w:firstLine="540"/>
        <w:jc w:val="both"/>
      </w:pPr>
      <w:r>
        <w:t>--------------------------------</w:t>
      </w:r>
    </w:p>
    <w:p w:rsidR="00000000" w:rsidRDefault="00AC0508">
      <w:pPr>
        <w:pStyle w:val="ConsPlusNormal"/>
        <w:spacing w:before="200"/>
        <w:ind w:firstLine="540"/>
        <w:jc w:val="both"/>
      </w:pPr>
      <w:bookmarkStart w:id="3" w:name="Par271"/>
      <w:bookmarkEnd w:id="3"/>
      <w:r>
        <w:t>&lt;*&gt; Требуется ежегодное подтверждение.</w:t>
      </w:r>
    </w:p>
    <w:p w:rsidR="00000000" w:rsidRDefault="00AC0508">
      <w:pPr>
        <w:pStyle w:val="ConsPlusNormal"/>
        <w:spacing w:before="200"/>
        <w:ind w:firstLine="540"/>
        <w:jc w:val="both"/>
      </w:pPr>
      <w:bookmarkStart w:id="4" w:name="Par272"/>
      <w:bookmarkEnd w:id="4"/>
      <w:r>
        <w:t>&lt;**&gt; Субъекты Российской Федерации определяют самостоятельно.</w:t>
      </w:r>
    </w:p>
    <w:p w:rsidR="00000000" w:rsidRDefault="00AC0508">
      <w:pPr>
        <w:pStyle w:val="ConsPlusNormal"/>
        <w:jc w:val="both"/>
      </w:pPr>
    </w:p>
    <w:p w:rsidR="00000000" w:rsidRDefault="00AC0508">
      <w:pPr>
        <w:pStyle w:val="ConsPlusTitle"/>
        <w:jc w:val="center"/>
        <w:outlineLvl w:val="0"/>
      </w:pPr>
      <w:r>
        <w:t>5. Описание приоритетного проекта</w:t>
      </w:r>
    </w:p>
    <w:p w:rsidR="00000000" w:rsidRDefault="00AC05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Государственная программа Российской Федерации "Развитие здравоохранения", утвержденная постановлением Правительства Российской Федерации от 15 апреля 2014 г. N 294.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Формальные основания для инициа</w:t>
            </w:r>
            <w:r>
              <w:t>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Указ Президента Российской Федерации от 7 мая 2012 г. N 598 "О совершенствовании государственной политики в сфере здравоохранения".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Ключевые риски и возможности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Риски:</w:t>
            </w:r>
          </w:p>
          <w:p w:rsidR="00000000" w:rsidRDefault="00AC0508">
            <w:pPr>
              <w:pStyle w:val="ConsPlusNormal"/>
            </w:pPr>
            <w:r>
              <w:t xml:space="preserve">1. Срыв сроков реализации проекта </w:t>
            </w:r>
            <w:r>
              <w:t xml:space="preserve">вследствие недостатка </w:t>
            </w:r>
            <w:r>
              <w:lastRenderedPageBreak/>
              <w:t>квалифицированных специалистов по моделированию и оптимизации процессов с учетом принципов бережливого производства в сфере здравоохранения.</w:t>
            </w:r>
          </w:p>
          <w:p w:rsidR="00000000" w:rsidRDefault="00AC0508">
            <w:pPr>
              <w:pStyle w:val="ConsPlusNormal"/>
            </w:pPr>
            <w:r>
              <w:t>2. Недостаточная вовлеченность медицинского и административного персонала, участвующего в про</w:t>
            </w:r>
            <w:r>
              <w:t>екте.</w:t>
            </w:r>
          </w:p>
          <w:p w:rsidR="00000000" w:rsidRDefault="00AC0508">
            <w:pPr>
              <w:pStyle w:val="ConsPlusNormal"/>
            </w:pPr>
            <w:r>
              <w:t>3. Недостаточная информированность населения о проекте.</w:t>
            </w:r>
          </w:p>
          <w:p w:rsidR="00000000" w:rsidRDefault="00AC0508">
            <w:pPr>
              <w:pStyle w:val="ConsPlusNormal"/>
            </w:pPr>
            <w:r>
              <w:t>4. Ограниченность бюджетных ресурсов.</w:t>
            </w:r>
          </w:p>
          <w:p w:rsidR="00000000" w:rsidRDefault="00AC0508">
            <w:pPr>
              <w:pStyle w:val="ConsPlusNormal"/>
            </w:pPr>
            <w:r>
              <w:t>Возможности:</w:t>
            </w:r>
          </w:p>
          <w:p w:rsidR="00000000" w:rsidRDefault="00AC0508">
            <w:pPr>
              <w:pStyle w:val="ConsPlusNormal"/>
            </w:pPr>
            <w:r>
              <w:t>1. Приоритетная поддержка высшими органами государственной власти внедрения "Новой модели медицинской организации" в субъектах Российской Федер</w:t>
            </w:r>
            <w:r>
              <w:t>ации.</w:t>
            </w:r>
          </w:p>
          <w:p w:rsidR="00000000" w:rsidRDefault="00AC0508">
            <w:pPr>
              <w:pStyle w:val="ConsPlusNormal"/>
            </w:pPr>
            <w:r>
              <w:t>2. Повышение эффективности использования финансовых средств ОМС.</w:t>
            </w:r>
          </w:p>
          <w:p w:rsidR="00000000" w:rsidRDefault="00AC0508">
            <w:pPr>
              <w:pStyle w:val="ConsPlusNormal"/>
            </w:pPr>
            <w:r>
              <w:t>3. Распространение лучших практик внедрения "Новой модели медицинской организации" в среде профессионального сообщества для получения синергетического эффекта.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lastRenderedPageBreak/>
              <w:t>Дополнительная информаци</w:t>
            </w:r>
            <w:r>
              <w:t>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0508">
            <w:pPr>
              <w:pStyle w:val="ConsPlusNormal"/>
            </w:pPr>
            <w:r>
              <w:t>Примечания:</w:t>
            </w:r>
          </w:p>
          <w:p w:rsidR="00000000" w:rsidRDefault="00AC0508">
            <w:pPr>
              <w:pStyle w:val="ConsPlusNormal"/>
            </w:pPr>
            <w:r>
              <w:t>&lt;1&gt; Для медицинских организаций субъекта Российской Федерации, участвующих в создании "Новой модели медицинской организации".</w:t>
            </w:r>
          </w:p>
          <w:p w:rsidR="00000000" w:rsidRDefault="00AC0508">
            <w:pPr>
              <w:pStyle w:val="ConsPlusNormal"/>
            </w:pPr>
            <w:r>
              <w:t>&lt;2&gt; Данные ФСО России.</w:t>
            </w:r>
          </w:p>
        </w:tc>
      </w:tr>
    </w:tbl>
    <w:p w:rsidR="00000000" w:rsidRDefault="00AC0508">
      <w:pPr>
        <w:pStyle w:val="ConsPlusNormal"/>
        <w:jc w:val="both"/>
      </w:pPr>
    </w:p>
    <w:p w:rsidR="00000000" w:rsidRDefault="00AC0508">
      <w:pPr>
        <w:pStyle w:val="ConsPlusNormal"/>
        <w:jc w:val="both"/>
      </w:pPr>
    </w:p>
    <w:p w:rsidR="00AC0508" w:rsidRDefault="00AC0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0508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08" w:rsidRDefault="00AC0508">
      <w:pPr>
        <w:spacing w:after="0" w:line="240" w:lineRule="auto"/>
      </w:pPr>
      <w:r>
        <w:separator/>
      </w:r>
    </w:p>
  </w:endnote>
  <w:endnote w:type="continuationSeparator" w:id="0">
    <w:p w:rsidR="00AC0508" w:rsidRDefault="00AC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0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21E42">
            <w:fldChar w:fldCharType="separate"/>
          </w:r>
          <w:r w:rsidR="00221E4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21E42">
            <w:fldChar w:fldCharType="separate"/>
          </w:r>
          <w:r w:rsidR="00221E42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AC050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0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21E42">
            <w:fldChar w:fldCharType="separate"/>
          </w:r>
          <w:r w:rsidR="00221E42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21E42">
            <w:fldChar w:fldCharType="separate"/>
          </w:r>
          <w:r w:rsidR="00221E42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AC050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0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21E42">
            <w:fldChar w:fldCharType="separate"/>
          </w:r>
          <w:r w:rsidR="00221E42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21E42">
            <w:fldChar w:fldCharType="separate"/>
          </w:r>
          <w:r w:rsidR="00221E42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AC050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0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21E42">
            <w:fldChar w:fldCharType="separate"/>
          </w:r>
          <w:r w:rsidR="00221E42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21E42">
            <w:fldChar w:fldCharType="separate"/>
          </w:r>
          <w:r w:rsidR="00221E42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AC05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08" w:rsidRDefault="00AC0508">
      <w:pPr>
        <w:spacing w:after="0" w:line="240" w:lineRule="auto"/>
      </w:pPr>
      <w:r>
        <w:separator/>
      </w:r>
    </w:p>
  </w:footnote>
  <w:footnote w:type="continuationSeparator" w:id="0">
    <w:p w:rsidR="00AC0508" w:rsidRDefault="00AC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"Паспорт приоритетного проекта "Создание новой модели медицинской организации, оказывающей первичную медико-санитарную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C05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17.07.2018</w:t>
          </w:r>
        </w:p>
      </w:tc>
    </w:tr>
  </w:tbl>
  <w:p w:rsidR="00000000" w:rsidRDefault="00AC0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050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"Паспорт приоритетного проекта "Создание новой модели медицинской организации, ока</w:t>
          </w:r>
          <w:r>
            <w:rPr>
              <w:sz w:val="16"/>
              <w:szCs w:val="16"/>
            </w:rPr>
            <w:t>зывающей первичную медико-санитарную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C05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17.07.2018</w:t>
          </w:r>
        </w:p>
      </w:tc>
    </w:tr>
  </w:tbl>
  <w:p w:rsidR="00000000" w:rsidRDefault="00AC0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050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"Паспорт приоритетного проекта "Создание новой модели медицинской организации, оказывающей первичную медико-санитарную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C05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17.07.2018</w:t>
          </w:r>
        </w:p>
      </w:tc>
    </w:tr>
  </w:tbl>
  <w:p w:rsidR="00000000" w:rsidRDefault="00AC0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050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"Паспорт приоритетного проекта "Создание новой модели медицинской организации, оказывающей первичную медико-санитарную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C05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05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17.07.2018</w:t>
          </w:r>
        </w:p>
      </w:tc>
    </w:tr>
  </w:tbl>
  <w:p w:rsidR="00000000" w:rsidRDefault="00AC05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05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42"/>
    <w:rsid w:val="00221E42"/>
    <w:rsid w:val="00A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14392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"Паспорт приоритетного проекта "Создание новой модели медицинской организации, оказывающей первичную медико-санитарную помощь"(утв. президиумом Совета при Президенте РФ по стратегическому развитию и приоритетным проектам, протокол от 26.07.2017 N 8)</vt:lpstr>
    </vt:vector>
  </TitlesOfParts>
  <Company>КонсультантПлюс Версия 4017.00.91</Company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"Паспорт приоритетного проекта "Создание новой модели медицинской организации, оказывающей первичную медико-санитарную помощь"(утв. президиумом Совета при Президенте РФ по стратегическому развитию и приоритетным проектам, протокол от 26.07.2017 N 8)</dc:title>
  <dc:creator>оо7</dc:creator>
  <cp:lastModifiedBy>оо7</cp:lastModifiedBy>
  <cp:revision>2</cp:revision>
  <dcterms:created xsi:type="dcterms:W3CDTF">2022-10-10T12:27:00Z</dcterms:created>
  <dcterms:modified xsi:type="dcterms:W3CDTF">2022-10-10T12:27:00Z</dcterms:modified>
</cp:coreProperties>
</file>