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5FF7">
      <w:pPr>
        <w:pStyle w:val="ConsPlusNormal"/>
        <w:jc w:val="both"/>
        <w:outlineLvl w:val="0"/>
      </w:pPr>
      <w:bookmarkStart w:id="0" w:name="_GoBack"/>
      <w:bookmarkEnd w:id="0"/>
    </w:p>
    <w:p w:rsidR="00000000" w:rsidRDefault="00045FF7">
      <w:pPr>
        <w:pStyle w:val="ConsPlusNormal"/>
        <w:jc w:val="right"/>
      </w:pPr>
      <w:r>
        <w:t>Утвержден</w:t>
      </w:r>
    </w:p>
    <w:p w:rsidR="00000000" w:rsidRDefault="00045FF7">
      <w:pPr>
        <w:pStyle w:val="ConsPlusNormal"/>
        <w:jc w:val="right"/>
      </w:pPr>
      <w:r>
        <w:t>Президентом РФ</w:t>
      </w:r>
    </w:p>
    <w:p w:rsidR="00000000" w:rsidRDefault="00045FF7">
      <w:pPr>
        <w:pStyle w:val="ConsPlusNormal"/>
        <w:jc w:val="right"/>
      </w:pPr>
      <w:r>
        <w:t>27.02.2019 N Пр-294</w:t>
      </w:r>
    </w:p>
    <w:p w:rsidR="00000000" w:rsidRDefault="00045FF7">
      <w:pPr>
        <w:pStyle w:val="ConsPlusNormal"/>
        <w:ind w:firstLine="540"/>
        <w:jc w:val="both"/>
      </w:pPr>
    </w:p>
    <w:p w:rsidR="00000000" w:rsidRDefault="00045FF7">
      <w:pPr>
        <w:pStyle w:val="ConsPlusTitle"/>
        <w:jc w:val="center"/>
      </w:pPr>
      <w:r>
        <w:t>ПЕРЕЧЕНЬ</w:t>
      </w:r>
    </w:p>
    <w:p w:rsidR="00000000" w:rsidRDefault="00045FF7">
      <w:pPr>
        <w:pStyle w:val="ConsPlusTitle"/>
        <w:jc w:val="center"/>
      </w:pPr>
      <w:r>
        <w:t>ПОРУЧЕНИЙ ПО РЕАЛИЗАЦИИ ПОСЛАНИЯ ПРЕЗИДЕНТА</w:t>
      </w:r>
    </w:p>
    <w:p w:rsidR="00000000" w:rsidRDefault="00045FF7">
      <w:pPr>
        <w:pStyle w:val="ConsPlusTitle"/>
        <w:jc w:val="center"/>
      </w:pPr>
      <w:r>
        <w:t>ФЕДЕРАЛЬНОМУ СОБРАНИЮ</w:t>
      </w:r>
    </w:p>
    <w:p w:rsidR="00000000" w:rsidRDefault="00045FF7">
      <w:pPr>
        <w:pStyle w:val="ConsPlusNormal"/>
        <w:ind w:firstLine="540"/>
        <w:jc w:val="both"/>
      </w:pPr>
    </w:p>
    <w:p w:rsidR="00000000" w:rsidRDefault="00045FF7">
      <w:pPr>
        <w:pStyle w:val="ConsPlusNormal"/>
        <w:ind w:firstLine="540"/>
        <w:jc w:val="both"/>
      </w:pPr>
      <w:r>
        <w:t>Владимир Путин утвердил перечень поручений по реализации Послания Президента Федеральному Собранию от 20 февраля 2019 года.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1. Администрации Президента Российской Федерации обеспечить увеличение объема средств, направляемых Фондом - оператором президентски</w:t>
      </w:r>
      <w:r>
        <w:t>х грантов по развитию гражданского общества в виде грантов на поддержку проектов в области культуры и искусства, связанных с краеведением, народным творчеством, сохранением исторического наследия.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Доклад - до 20 декабря 2019 г., далее - один раз в полгода.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Ответственный: Вайно А.Э.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2. Правительству Российской Федерации обеспечить: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а) внесение в законодательство Российской Федерации изменений, предусматривающих: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 xml:space="preserve">определение постоянно действующего порядка материального обеспечения пенсионеров, в соответствии </w:t>
      </w:r>
      <w:r>
        <w:t>с которым размер социальной доплаты к пенсии, установленной Федеральным законом "О государственной социальной помощи", не будет уменьшаться даже в случае, если при индексации (корректировке) пенсии и ежемесячной денежной выплаты доход пенсионера превысил п</w:t>
      </w:r>
      <w:r>
        <w:t>рожиточный минимум; перерасчет с 1 января 2019 г. социальной доплаты к пенсии на основании указанного порядка материального обеспечения пенсионеров и выплату им недополученных сумм.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Срок - 10 апреля 2019 г.;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увеличение с 1 июля 2019 г. до 10 тыс. рублей еж</w:t>
      </w:r>
      <w:r>
        <w:t>емесячной выплаты неработающим трудоспособным родителям (усыновителям) или опекунам (попечителям), осуществляющим уход за ребенком-инвалидом в возрасте до 18 лет или инвалидом с детства I группы;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оказание помощи семьям, взявшим ипотечный жилищный кредит (з</w:t>
      </w:r>
      <w:r>
        <w:t>аем) для приобретения жилья, в виде выплаты из федерального бюджета суммы в размере 450 тыс. рублей в счет погашения кредита (займа) в случае рождения после 1 января 2019 г. в таких семьях третьего ребенка или последующих детей;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субсидирование процентной с</w:t>
      </w:r>
      <w:r>
        <w:t>тавки до уровня 6 процентов годовых по ипотечным жилищным кредитам (займам), предоставленным семьям с двумя и более детьми, на весь срок действия таких кредитов (займов).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lastRenderedPageBreak/>
        <w:t>Срок - 25 марта 2019 г.;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дополнительное уменьшение налоговой базы по налогу на имущес</w:t>
      </w:r>
      <w:r>
        <w:t>тво физических лиц в отношении жилых домов и частей жилых домов - на величину кадастровой стоимости 7 кв. метров или в отношении квартир, частей квартир, комнат - на величину кадастровой стоимости 5 кв. метров для налогоплательщиков, имеющих трех и более д</w:t>
      </w:r>
      <w:r>
        <w:t>етей, в расчете на каждого ребенка и применительно к одному объекту недвижимого имущества, находящемуся в собственности налогоплательщика;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уменьшение налоговой базы по земельному налогу в отношении одного земельного участка, находящегося в собственности на</w:t>
      </w:r>
      <w:r>
        <w:t>логоплательщика, постоянном (бессрочном) пользовании или пожизненном наследуемом владении, на величину кадастровой стоимости 600 кв. метров площади земельного участка для налогоплательщиков, имеющих трех и более детей;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недопущение увеличения суммы земельно</w:t>
      </w:r>
      <w:r>
        <w:t>го налога, подлежащей уплате за текущий налоговый период, более чем на 10 процентов по сравнению с суммой налога, подлежавшей уплате за предыдущий налоговый период;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предоставление застройщикам возможности уменьшать налоговую базу по налогу на прибыль орган</w:t>
      </w:r>
      <w:r>
        <w:t xml:space="preserve">изаций на сумму расходов, понесенных в связи со строительством объектов социальной инфраструктуры, передаваемых в государственную или муниципальную собственность, а также освобождение операций по передаче таких объектов от обложения налогом на добавленную </w:t>
      </w:r>
      <w:r>
        <w:t>стоимость;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установление ставки по налогу на прибыль организаций в размере 0 процентов в отношении доходов, получаемых региональными или муниципальными музеями, театрами и библиотеками;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установление с учетом ранее данных поручений критериев экологического т</w:t>
      </w:r>
      <w:r>
        <w:t>уризма на особо охраняемых природных территориях и усиление правового режима государственных природных заповедников, в том числе в части, касающейся запрета на проведение рубок лесных насаждений и создание объектов капитального строительства.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Срок - 1 июля</w:t>
      </w:r>
      <w:r>
        <w:t xml:space="preserve"> 2019 г.;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 xml:space="preserve">включение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изданий, получивших наиболее </w:t>
      </w:r>
      <w:r>
        <w:t>высокую оценку по результатам экспертизы;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 xml:space="preserve">изменение с 1 января 2020 г. размера среднедушевого дохода семьи, дающего право на получение в соответствии с Федеральным законом "О ежемесячных выплатах семьям, имеющим детей" ежемесячной денежной выплаты в связи </w:t>
      </w:r>
      <w:r>
        <w:t>с рождением (усыновлением) первого или второго ребенка, с 1,5-кратной на 2-кратную величину прожиточного минимума трудоспособного населения, установленного в субъекте Российской Федерации;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отмену установленного законодательством Российской Федерации возрас</w:t>
      </w:r>
      <w:r>
        <w:t xml:space="preserve">тного ограничения (50 лет) при осуществлении единовременных компенсационных выплат медицинским работникам (врачам, фельдшерам), прибывшим (переехавшим) на работу в сельские населенные пункты, либо </w:t>
      </w:r>
      <w:r>
        <w:lastRenderedPageBreak/>
        <w:t xml:space="preserve">рабочие поселки, либо поселки городского типа, либо города </w:t>
      </w:r>
      <w:r>
        <w:t>с населением до 50 тыс. человек;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установление требований к медицинским организациям, внедряющим новую модель оказания гражданам первичной медико-санитарной помощи ("Бережливая поликлиника"), порядка определения соответствия медицинских организаций таким тр</w:t>
      </w:r>
      <w:r>
        <w:t>ебованиям, а также установление правил осуществления контроля деятельности указанных медицинских организаций;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установление правовых оснований для утверждения и реализации начиная с 2020 года программы "Земский учитель", предусматривающей осуществление един</w:t>
      </w:r>
      <w:r>
        <w:t>овременной компенсационной выплаты в размере 1 млн. рублей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тыс. человек;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обновление федеральных государственных образовательных стандартов и примерных основных образовательных программ, в том числе с учетом приоритетов научно-технологического развития Российской Федерации.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Срок - 1 декабря 2019 г.;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 xml:space="preserve">б) подключение до конца 2021 </w:t>
      </w:r>
      <w:r>
        <w:t>года всех общеобразовательных организаций к высокоскоростному интернету.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Доклад - до 1 сентября 2019 г., далее - один раз в год;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 xml:space="preserve">в) создание до 1 января 2022 г. в Российской Федерации 15 научно-образовательных центров, предусмотрев, что до конца 2019 года </w:t>
      </w:r>
      <w:r>
        <w:t>должны начать функционировать пять таких научно-образовательных центров, в том числе в Пермском крае, Тюменской и Белгородской областях.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Доклад - до 1 февраля 2020 г., далее - один раз в год;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г) разработку национальной стратегии в области искусственного ин</w:t>
      </w:r>
      <w:r>
        <w:t>теллекта.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Срок - 15 июня 2019 г.;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д) реализацию дополнительных мер, направленных на стимулирование роста инвестиций в высокотехнологичные проекты в области искусственного интеллекта, интернета вещей, робототехники и обработки больших массивов данных, осуще</w:t>
      </w:r>
      <w:r>
        <w:t>ствляемые субъектами малого и среднего предпринимательства.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Доклад - до 1 июля 2019 г., далее - один раз в год;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е) утверждение плана мероприятий ("дорожной карты") по созданию российских защищенных брендов экологически чистой сельскохозяйственной продукции</w:t>
      </w:r>
      <w:r>
        <w:t>, сырья и продовольствия в целях их продвижения на внутренний и внешние рынки, предусмотрев в том числе формирование системы контроля за соблюдением требований к производству и обороту указанных товаров.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Доклад - до 1 июля 2019 г., далее - один раз в полго</w:t>
      </w:r>
      <w:r>
        <w:t>да;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lastRenderedPageBreak/>
        <w:t>ж) утверждение генеральной схемы развития сетей связи и инфраструктуры хранения и обработки данных Российской Федерации.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Срок - 31 декабря 2019 г.;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з) создание в 2020 - 2024 годах двух детских реабилитационных центров мирового уровня.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Доклад - до 15 де</w:t>
      </w:r>
      <w:r>
        <w:t>кабря 2019 г., далее - один раз в год;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и) возможность получения гражданами комплексных государственных и муниципальных услуг, сгруппированных по основным жизненным ситуациям и предоставляемых в автоматическом режиме, в том числе с использованием единого по</w:t>
      </w:r>
      <w:r>
        <w:t>ртала государственных и муниципальных услуг.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Срок - 31 декабря 2020 г.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Ответственный: Медведев Д.А.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3. Правительству Российской Федерации: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а) совместно с Государственной Думой Федерального Собрания Российской Федерации обеспечить принятие в весеннюю сессию</w:t>
      </w:r>
      <w:r>
        <w:t xml:space="preserve"> 2019 года: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федерального закона, предусматривающего применение системы квотирования выбросов загрязняющих веществ в атмосферный воздух в крупных промышленных центрах, в первую очередь в городах Братске, Красноярске, Липецке, Магнитогорске, Медногорске, Ниж</w:t>
      </w:r>
      <w:r>
        <w:t>нем Тагиле, Новокузнецке, Норильске, Омске, Челябинске, Череповце и Чите;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федеральных законов, направленных на развитие цифровой экономики, в том числе определяющих порядок совершения гражданско-правовых сделок в электронной форме, а также предусматривающи</w:t>
      </w:r>
      <w:r>
        <w:t>х регулирование цифровых финансовых активов и привлечение финансовых ресурсов с использованием цифровых технологий.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Срок - 1 июля 2019 г.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Ответственные: Медведев Д.А., Володин В.В.;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б) при участии ведущих деловых объединений предпринимателей обеспечить вне</w:t>
      </w:r>
      <w:r>
        <w:t xml:space="preserve">сение в законодательство Российской Федерации изменений, предусматривающих отмену с 1 января 2021 г. всех нормативных правовых актов, устанавливающих требования, соблюдение которых подлежит проверке при осуществлении государственного контроля (надзора), и </w:t>
      </w:r>
      <w:r>
        <w:t>введение в действие новых норм, содержащих актуализированные требования, разработанные с учетом рискориентированного подхода и современного уровня технологического развития в соответствующих сферах.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Доклад - до 30 июня 2019 г., далее - один раз в квартал.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Ответственный: Медведев Д.А.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lastRenderedPageBreak/>
        <w:t>4. Рекомендовать Верховному Суду Российской Федерации совместно с Генеральной прокуратурой Российской Федерации: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а) проанализ</w:t>
      </w:r>
      <w:r>
        <w:t>ировать практику квалификации деяний по статьям Уголовного кодекса Российской Федерации, предусматривающим ответственность за преступления в сфере экономической деятельности, обратив особое внимание на правильность применения такого квалифицирующего призна</w:t>
      </w:r>
      <w:r>
        <w:t>ка, как совершение преступления группой лиц по предварительному сговору, и при необходимости представить предложения, направленные на недопущение необоснованного привлечения работников организаций к уголовной ответственности.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Доклад - до 1 декабря 2019 г.;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б) в целях сокращения оснований для продления срока содержания под стражей (ареста) в качестве меры пресечения в отношении лиц, подозреваемых и обвиняемых в совершении преступлений в сфере предпринимательской деятельности, проанализировать существующую пр</w:t>
      </w:r>
      <w:r>
        <w:t>актику применения соответствующих положений Уголовно-процессуального кодекса Российской Федерации и по результатам проведенного анализа подготовить необходимые поправки к проекту федерального закона N 280281-7 "О внесении изменений в статьи 108 и 109 Уголо</w:t>
      </w:r>
      <w:r>
        <w:t>вно-процессуального кодекса Российской Федерации".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Срок - 1 июля 2019 г.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Ответственные: Лебедев В.М., Чайка Ю.Я.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5. Правительству Российской Федерации совместно с Банком России: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 xml:space="preserve">а) принять дополнительные меры, направленные на снижение процентной ставки по </w:t>
      </w:r>
      <w:r>
        <w:t>ипотечным жилищным кредитам (займам) до уровня 8 процентов годовых и менее.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Доклад - до 15 января 2020 г., далее - один раз в полгода;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б) обеспечить создание финансовых инструментов, в том числе кредитных, для поддержки индивидуального жилищного строительс</w:t>
      </w:r>
      <w:r>
        <w:t>тва.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Доклад - до 1 июля 2019 г.;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в) обеспечить внесение в законодательство Российской Федерации изменений, предусматривающих предоставление гражданам, попавшим в трудную жизненную ситуацию, "ипотечных каникул" - отсрочки погашения суммы основного долга и у</w:t>
      </w:r>
      <w:r>
        <w:t>платы процентов по ипотечным жилищным кредитам (займам) и установление запрета для кредиторов на применение в указанный период предусмотренных законодательством Российской Федерации последствий нарушения заемщиком сроков возврата основной суммы долга и (ил</w:t>
      </w:r>
      <w:r>
        <w:t>и) уплаты процентов по соответствующим договорам, а также на обращение взыскания на заложенное имущество, в случае если оно является единственным жилым помещением заемщика.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Срок - 1 июля 2019 г.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Ответственные: Медведев Д А., Набиуллина Э.С.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lastRenderedPageBreak/>
        <w:t>6. Правительств</w:t>
      </w:r>
      <w:r>
        <w:t>у Российской Федерации совместно с органами исполнительной власти субъектов Российской Федерации: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а) обеспечить внедрение механизмов мотивации персонала медицинских организаций, оказывающих первичную медико-санитарную помощь населению, к повышению качества</w:t>
      </w:r>
      <w:r>
        <w:t xml:space="preserve"> их работы в рамках новой модели оказания гражданам первичной медико-санитарной помощи ("Бережливая поликлиника");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 xml:space="preserve">б) обеспечить к 2021 году перевод всех детских поликлиник на новую модель оказания гражданам первичной медико-санитарной помощи ("Бережливая </w:t>
      </w:r>
      <w:r>
        <w:t>поликлиника");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в) завершить до конца 2021 года организацию информационного взаимодействия между медицинскими организациями, аптечными организациями, федеральными учреждениями медико-социальной экспертизы, медицинскими работниками и пациентами в рамках един</w:t>
      </w:r>
      <w:r>
        <w:t>ой государственной информационной системы в сфере здравоохранения;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г) обеспечить активное внедрение практики оказания государственной социальной помощи на основании социального контракта, предусмотрев расширение круга получателей такой помощи и софинансиро</w:t>
      </w:r>
      <w:r>
        <w:t>вание соответствующих расходов бюджетов субъектов Российской Федерации за счет средств федерального бюджета начиная с 2020 года.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Доклад - до 1 декабря 2019 г., далее - один раз в полгода;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д) обеспечить упрощение процедуры прохождения гражданами диспансериз</w:t>
      </w:r>
      <w:r>
        <w:t>ации и профилактических медицинских осмотров, в том числе в вечерние часы, а также предоставление гражданам возможности дистанционной записи на медицинские обследования;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е) обеспечить включение обследований на выявление онкологических заболеваний в перечен</w:t>
      </w:r>
      <w:r>
        <w:t>ь медицинских обследований, проводимых в ходе диспансеризации и профилактических медицинских осмотров.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Доклад - до 1 октября 2019 г., далее - один раз в полгода;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ж) обеспечить контроль за сохранением достигнутого соотношения между уровнем оплаты труда отде</w:t>
      </w:r>
      <w:r>
        <w:t>льных категорий работников бюджетной сферы и уровнем средней заработной платы в соответствующем регионе.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Доклад - до 1 августа 2019 г., далее - один раз в полгода;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з) завершить к 2021 году благоустройство зданий государственных и муниципальных общеобразова</w:t>
      </w:r>
      <w:r>
        <w:t>тельных организаций, обеспечив в них надлежащие условия для обучения и пребывания детей, прежде всего соблюдение требований к воздушно-тепловому режиму, водоснабжению и канализации.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Доклад - до 1 сентября 2019 г., далее - один раз в полгода.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Ответственные:</w:t>
      </w:r>
      <w:r>
        <w:t xml:space="preserve"> Медведев Д.А.,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lastRenderedPageBreak/>
        <w:t>7. Правительству Российской Федерации совместно с госкорпорацией "Роскосмос" и Правительством Москвы обеспечить создание Национального космического центра, включающего в себя в том числе головные подразделения основных организаций ракетно-космической отрас</w:t>
      </w:r>
      <w:r>
        <w:t>ли, конструкторские бюро, профильные структурные подразделения научно-исследовательских и образовательных организаций.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Доклад - до 15 января 2020 г.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Ответственные: Медведев Д.А., Рогозин Д.О., Собянин С.С.</w:t>
      </w:r>
    </w:p>
    <w:p w:rsidR="00000000" w:rsidRDefault="00045FF7">
      <w:pPr>
        <w:pStyle w:val="ConsPlusNormal"/>
        <w:spacing w:before="240"/>
        <w:ind w:firstLine="540"/>
        <w:jc w:val="both"/>
      </w:pPr>
      <w:bookmarkStart w:id="1" w:name="Par92"/>
      <w:bookmarkEnd w:id="1"/>
      <w:r>
        <w:t>8. Правительству Российской Федерации пр</w:t>
      </w:r>
      <w:r>
        <w:t>и участии автономной некоммерческой организации "Агентство стратегических инициатив" и ведущих общественных объединений предпринимателей обеспечить создание и внедрение в пилотном режиме цифровой платформы для приема обращений субъектов предпринимательской</w:t>
      </w:r>
      <w:r>
        <w:t xml:space="preserve"> деятельности в связи с оказанием на них давления со стороны правоохранительных органов.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Срок - 15 декабря 2019 г.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Ответственный: Медведев Д.А.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9. МВД России, ФСБ России, Генеральной прокуратуре Российской Федерации и Следственному комитету Российской Феде</w:t>
      </w:r>
      <w:r>
        <w:t xml:space="preserve">рации в соответствии со своей компетенцией издать акты, предусматривающие утверждение порядка рассмотрения указанных в </w:t>
      </w:r>
      <w:hyperlink w:anchor="Par92" w:tooltip="8. Правительству Российской Федерации при участии автономной некоммерческой организации &quot;Агентство стратегических инициатив&quot; и ведущих общественных объединений предпринимателей обеспечить создание и внедрение в пилотном режиме цифровой платформы для приема обращений субъектов предпринимательской деятельности в связи с оказанием на них давления со стороны правоохранительных органов." w:history="1">
        <w:r>
          <w:rPr>
            <w:color w:val="0000FF"/>
          </w:rPr>
          <w:t>пункте 8</w:t>
        </w:r>
      </w:hyperlink>
      <w:r>
        <w:t xml:space="preserve"> настоящего перечня поручений обращений субъектов предпринимательской деятельности.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Срок - 1 октября 2019 г.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Ответственные: Колокольцев В.А., Бортников А.В., Чайка Ю.Я., Бастрыкин А.И.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10. Банку России, МВД России, Генеральной прокуратуре Российской Федерации, Следственному комитету Российской Федерации и Минюсту России в соответствии со своей компетенцией принять необходимые меры, направленные на предотвращение и пресечение неправомерны</w:t>
      </w:r>
      <w:r>
        <w:t>х действий (мошенничества) в отношении граждан при осуществлении хозяйствующими субъектами микрофинансовой деятельности и деятельности по возврату просроченной задолженности.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Доклад - до 1 мая 2019 г., далее - один раз в полгода.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 xml:space="preserve">Ответственные: Набиуллина </w:t>
      </w:r>
      <w:r>
        <w:t>Э.С., Колокольцев В.А., Чайка Ю.Я., Бастрыкин А.И., Коновалов А.В.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11. Минприроды России совместно с Росреестром до 1 января 2022 г. завершить внесение сведений о местоположении границ особо охраняемых природных территорий федерального значения в Единый го</w:t>
      </w:r>
      <w:r>
        <w:t>сударственный реестр недвижимости.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Доклад - до 1 июля 2019 г., далее - один раз в полгода.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Ответственные: Кобылкин Д.Н., Абрамченко В.В.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lastRenderedPageBreak/>
        <w:t>12. Общероссийскому общественному движению "НАРОДНЫЙ ФРОНТ "ЗА РОССИЮ" совместно с Росприроднадзором обеспечить привлеч</w:t>
      </w:r>
      <w:r>
        <w:t>ение граждан, представителей общественных объединений и иных некоммерческих организаций к участию в общественном экологическом контроле в качестве общественных инспекторов по охране окружающей среды.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Доклад - до 1 июля 2019 г., далее - один раз в полгода.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Ответственные: Развожаев М.В., Радионова С.Г.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13. Правительству Российской Федерации обеспечить финансирование расходов на реализацию мероприятий, предусмотренных настоящим перечнем поручений, и при необходимости внести изменения в федеральные законы "О фе</w:t>
      </w:r>
      <w:r>
        <w:t>деральном бюджете на 2019 год и на плановый период 2020 и 2021 годов" и "О бюджете Пенсионного фонда Российской Федерации на 2019 год и на плановый период 2020 и 2021 годов".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Доклад - до 1 июня 2019 г., далее - один раз в квартал.</w:t>
      </w:r>
    </w:p>
    <w:p w:rsidR="00000000" w:rsidRDefault="00045FF7">
      <w:pPr>
        <w:pStyle w:val="ConsPlusNormal"/>
        <w:spacing w:before="240"/>
        <w:ind w:firstLine="540"/>
        <w:jc w:val="both"/>
      </w:pPr>
      <w:r>
        <w:t>Ответственный: Медведев Д</w:t>
      </w:r>
      <w:r>
        <w:t>.А.</w:t>
      </w:r>
    </w:p>
    <w:p w:rsidR="00000000" w:rsidRDefault="00045FF7">
      <w:pPr>
        <w:pStyle w:val="ConsPlusNormal"/>
        <w:ind w:firstLine="540"/>
        <w:jc w:val="both"/>
      </w:pPr>
    </w:p>
    <w:p w:rsidR="00000000" w:rsidRDefault="00045FF7">
      <w:pPr>
        <w:pStyle w:val="ConsPlusNormal"/>
        <w:ind w:firstLine="540"/>
        <w:jc w:val="both"/>
      </w:pPr>
    </w:p>
    <w:p w:rsidR="00045FF7" w:rsidRDefault="00045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45F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F7" w:rsidRDefault="00045FF7">
      <w:pPr>
        <w:spacing w:after="0" w:line="240" w:lineRule="auto"/>
      </w:pPr>
      <w:r>
        <w:separator/>
      </w:r>
    </w:p>
  </w:endnote>
  <w:endnote w:type="continuationSeparator" w:id="0">
    <w:p w:rsidR="00045FF7" w:rsidRDefault="0004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5F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5FF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5FF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5FF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D532E">
            <w:rPr>
              <w:sz w:val="20"/>
              <w:szCs w:val="20"/>
            </w:rPr>
            <w:fldChar w:fldCharType="separate"/>
          </w:r>
          <w:r w:rsidR="009D532E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D532E">
            <w:rPr>
              <w:sz w:val="20"/>
              <w:szCs w:val="20"/>
            </w:rPr>
            <w:fldChar w:fldCharType="separate"/>
          </w:r>
          <w:r w:rsidR="009D532E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45FF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5F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5FF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5FF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5FF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D532E">
            <w:rPr>
              <w:sz w:val="20"/>
              <w:szCs w:val="20"/>
            </w:rPr>
            <w:fldChar w:fldCharType="separate"/>
          </w:r>
          <w:r w:rsidR="009D532E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D532E">
            <w:rPr>
              <w:sz w:val="20"/>
              <w:szCs w:val="20"/>
            </w:rPr>
            <w:fldChar w:fldCharType="separate"/>
          </w:r>
          <w:r w:rsidR="009D532E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45FF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F7" w:rsidRDefault="00045FF7">
      <w:pPr>
        <w:spacing w:after="0" w:line="240" w:lineRule="auto"/>
      </w:pPr>
      <w:r>
        <w:separator/>
      </w:r>
    </w:p>
  </w:footnote>
  <w:footnote w:type="continuationSeparator" w:id="0">
    <w:p w:rsidR="00045FF7" w:rsidRDefault="0004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5FF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"Перечень поручений по реализации Послания Президента Федеральному Собранию"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(утв. Президентом РФ 27.02.2019 N Пр-294)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5FF7">
          <w:pPr>
            <w:pStyle w:val="ConsPlusNormal"/>
            <w:jc w:val="center"/>
          </w:pPr>
        </w:p>
        <w:p w:rsidR="00000000" w:rsidRDefault="00045FF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5FF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06.12.2019</w:t>
          </w:r>
        </w:p>
      </w:tc>
    </w:tr>
  </w:tbl>
  <w:p w:rsidR="00000000" w:rsidRDefault="00045F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5FF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532E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1825" cy="446405"/>
                <wp:effectExtent l="0" t="0" r="317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045FF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"Перечень поручений по реализации Послания Президента Федеральному Собранию"</w:t>
          </w:r>
          <w:r>
            <w:rPr>
              <w:sz w:val="16"/>
              <w:szCs w:val="16"/>
            </w:rPr>
            <w:br/>
            <w:t>(утв. Президентом РФ 27.02.2019 N Пр-294)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5FF7">
          <w:pPr>
            <w:pStyle w:val="ConsPlusNormal"/>
            <w:jc w:val="center"/>
          </w:pPr>
        </w:p>
        <w:p w:rsidR="00000000" w:rsidRDefault="00045FF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5FF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06.12.2019</w:t>
          </w:r>
        </w:p>
      </w:tc>
    </w:tr>
  </w:tbl>
  <w:p w:rsidR="00000000" w:rsidRDefault="00045F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5FF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2E"/>
    <w:rsid w:val="00045FF7"/>
    <w:rsid w:val="009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2650</Words>
  <Characters>15105</Characters>
  <Application>Microsoft Office Word</Application>
  <DocSecurity>2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"Перечень поручений по реализации Послания Президента Федеральному Собранию"(утв. Президентом РФ 27.02.2019 N Пр-294)</vt:lpstr>
    </vt:vector>
  </TitlesOfParts>
  <Company>КонсультантПлюс Версия 4018.00.50</Company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"Перечень поручений по реализации Послания Президента Федеральному Собранию"(утв. Президентом РФ 27.02.2019 N Пр-294)</dc:title>
  <dc:creator>оо7</dc:creator>
  <cp:lastModifiedBy>оо7</cp:lastModifiedBy>
  <cp:revision>2</cp:revision>
  <dcterms:created xsi:type="dcterms:W3CDTF">2022-10-10T12:28:00Z</dcterms:created>
  <dcterms:modified xsi:type="dcterms:W3CDTF">2022-10-10T12:28:00Z</dcterms:modified>
</cp:coreProperties>
</file>